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BA4FCC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BA4FCC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E164F" w:rsidRPr="00BA4FCC" w:rsidRDefault="0050571F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 xml:space="preserve"> (ОВОС)</w:t>
      </w:r>
    </w:p>
    <w:p w:rsidR="00B81F58" w:rsidRPr="00BA4FCC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BA4FCC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>:</w:t>
      </w:r>
    </w:p>
    <w:p w:rsidR="00B81F58" w:rsidRPr="00BA4FCC" w:rsidRDefault="007C55F4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2AC5" w:rsidRPr="00BA4FCC">
        <w:rPr>
          <w:rFonts w:ascii="Times New Roman" w:hAnsi="Times New Roman" w:cs="Times New Roman"/>
          <w:b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584259" w:rsidRPr="00BA4FCC" w:rsidRDefault="000F2AC5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0F2AC5" w:rsidRPr="00BA4FCC" w:rsidRDefault="000F2AC5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17 сентября 2020 года 17:00 (</w:t>
      </w:r>
      <w:proofErr w:type="gramStart"/>
      <w:r w:rsidRPr="00BA4FCC">
        <w:rPr>
          <w:color w:val="000000"/>
          <w:sz w:val="26"/>
          <w:szCs w:val="26"/>
        </w:rPr>
        <w:t>МСК</w:t>
      </w:r>
      <w:proofErr w:type="gramEnd"/>
      <w:r w:rsidRPr="00BA4FCC">
        <w:rPr>
          <w:color w:val="000000"/>
          <w:sz w:val="26"/>
          <w:szCs w:val="26"/>
        </w:rPr>
        <w:t>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Pr="00BA4FCC">
        <w:rPr>
          <w:color w:val="000000"/>
          <w:sz w:val="26"/>
          <w:szCs w:val="26"/>
        </w:rPr>
        <w:t xml:space="preserve"> 24 сентября 2020 года.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Салаватов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Айрат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Ринатович</w:t>
            </w:r>
            <w:proofErr w:type="spellEnd"/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Исполнительного комитета города Нижнекамск Нижнекамского муниципального района Республики Татарстан.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Председательствующий на общественных слушаниях: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Хакимов</w:t>
            </w:r>
          </w:p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Ренат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Фанисович</w:t>
            </w:r>
            <w:proofErr w:type="spellEnd"/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Салахов</w:t>
            </w:r>
          </w:p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Илшат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Илгизович</w:t>
            </w:r>
            <w:proofErr w:type="spellEnd"/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бизнес-направления</w:t>
            </w:r>
            <w:proofErr w:type="gram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Нефтегазопереработка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ПАО «Татнефть»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генеральный директор АО «ТАНЕКО»;</w:t>
            </w:r>
          </w:p>
        </w:tc>
      </w:tr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Хамидуллин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Рамилевич</w:t>
            </w:r>
            <w:proofErr w:type="spellEnd"/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«ТАНЕКО»;</w:t>
            </w:r>
          </w:p>
        </w:tc>
      </w:tr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proofErr w:type="gramStart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группы сопровождения проектов службы проектирования Управления</w:t>
            </w:r>
            <w:proofErr w:type="gramEnd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реализации проектов строительства ПАО «Татнефть» им.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В.Д.Шашина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заместителя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руководителя Исполнительного комитета Нижнекамского муниципального района Хакимова Р.Ф.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BA4FCC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43ED" w:rsidRPr="00BA4FCC" w:rsidRDefault="00D143ED" w:rsidP="000D24C9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BA4FCC" w:rsidRDefault="00B81F58" w:rsidP="000D24C9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BA4FCC" w:rsidRDefault="00B81F58" w:rsidP="000D24C9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BA4FCC" w:rsidRDefault="002564D2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lastRenderedPageBreak/>
        <w:t>Общественные слушания</w:t>
      </w:r>
      <w:r w:rsidR="006262DF" w:rsidRPr="00BA4FCC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5638" w:rsidRPr="00BA4FCC">
        <w:rPr>
          <w:rFonts w:ascii="Times New Roman" w:hAnsi="Times New Roman" w:cs="Times New Roman"/>
          <w:b/>
          <w:sz w:val="26"/>
          <w:szCs w:val="26"/>
        </w:rPr>
        <w:t>материалам</w:t>
      </w:r>
      <w:r w:rsidRPr="00BA4FCC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9F7045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на окружающую среду по</w:t>
      </w:r>
      <w:r w:rsidR="00F95638" w:rsidRPr="00BA4FCC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Pr="00BA4FCC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BA4FCC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BA4FCC">
        <w:rPr>
          <w:rFonts w:ascii="Times New Roman" w:hAnsi="Times New Roman" w:cs="Times New Roman"/>
          <w:b/>
          <w:sz w:val="26"/>
          <w:szCs w:val="26"/>
        </w:rPr>
        <w:t>:</w:t>
      </w:r>
    </w:p>
    <w:p w:rsidR="005B3C66" w:rsidRPr="00BA4FCC" w:rsidRDefault="006C33DE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6C33DE" w:rsidRPr="00BA4FCC" w:rsidRDefault="006C33DE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5B3C66" w:rsidRPr="00BA4FCC" w:rsidRDefault="005B3C66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BA4FCC" w:rsidRDefault="005B3C66" w:rsidP="005B3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 начало общественных слушаний, т.е. 17.00 ч. 17.09.2020, для участия в общественных слушаниях зарегистрировалось 184 человека. Список участников прилагается (приложение 1).</w:t>
      </w: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6849"/>
      </w:tblGrid>
      <w:tr w:rsidR="005B3C66" w:rsidRPr="00BA4FCC" w:rsidTr="00C91FBC">
        <w:tc>
          <w:tcPr>
            <w:tcW w:w="3182" w:type="dxa"/>
          </w:tcPr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Хакимов  </w:t>
            </w:r>
          </w:p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Ренат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Фанисович</w:t>
            </w:r>
            <w:proofErr w:type="spellEnd"/>
          </w:p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49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Татарстан;</w:t>
            </w:r>
          </w:p>
        </w:tc>
      </w:tr>
      <w:tr w:rsidR="005B3C66" w:rsidRPr="00BA4FCC" w:rsidTr="00C91FBC"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  <w:proofErr w:type="spellEnd"/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</w:t>
            </w:r>
            <w:proofErr w:type="spellEnd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Азалович</w:t>
            </w:r>
            <w:proofErr w:type="spellEnd"/>
          </w:p>
        </w:tc>
        <w:tc>
          <w:tcPr>
            <w:tcW w:w="6849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Зайнутдинов</w:t>
            </w:r>
            <w:proofErr w:type="spellEnd"/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Ильдус</w:t>
            </w:r>
            <w:proofErr w:type="spellEnd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Кирамович</w:t>
            </w:r>
            <w:proofErr w:type="spellEnd"/>
          </w:p>
        </w:tc>
        <w:tc>
          <w:tcPr>
            <w:tcW w:w="6849" w:type="dxa"/>
          </w:tcPr>
          <w:p w:rsidR="005B3C66" w:rsidRPr="00BA4FCC" w:rsidRDefault="005B3C66" w:rsidP="00C91FBC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постоянной комиссии по экологии, охране здоровья и социальной защите населения Совета Нижнекамского муниципального района, глава </w:t>
            </w:r>
            <w:proofErr w:type="spellStart"/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Красноключинского</w:t>
            </w:r>
            <w:proofErr w:type="spellEnd"/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Нижнекамского муниципального района;</w:t>
            </w:r>
          </w:p>
        </w:tc>
      </w:tr>
      <w:tr w:rsidR="005B3C66" w:rsidRPr="00BA4FCC" w:rsidTr="00C91FBC">
        <w:trPr>
          <w:trHeight w:val="430"/>
        </w:trPr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Зурбашев</w:t>
            </w:r>
            <w:proofErr w:type="spellEnd"/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849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директора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АО «ТАНЕКО»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 технической поддержке и качеству;</w:t>
            </w:r>
          </w:p>
        </w:tc>
      </w:tr>
      <w:tr w:rsidR="005B3C66" w:rsidRPr="00BA4FCC" w:rsidTr="00C91FBC">
        <w:trPr>
          <w:trHeight w:val="539"/>
        </w:trPr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Кутикова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Валентина Николаевна</w:t>
            </w:r>
          </w:p>
        </w:tc>
        <w:tc>
          <w:tcPr>
            <w:tcW w:w="6849" w:type="dxa"/>
          </w:tcPr>
          <w:p w:rsidR="005B3C66" w:rsidRPr="00BA4FCC" w:rsidRDefault="005B3C66" w:rsidP="005B3C66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главный инженер проекта ПАО «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ВНИПИнефть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»;</w:t>
            </w:r>
          </w:p>
        </w:tc>
      </w:tr>
      <w:tr w:rsidR="005B3C66" w:rsidRPr="00BA4FCC" w:rsidTr="00C91FBC">
        <w:trPr>
          <w:trHeight w:val="539"/>
        </w:trPr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Бабурина 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Елена Михайловна</w:t>
            </w:r>
          </w:p>
        </w:tc>
        <w:tc>
          <w:tcPr>
            <w:tcW w:w="6849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консультант Управления здравоохранения                        г. Нижнекамска Министерства здравоохранения Республики Татарстан</w:t>
            </w:r>
          </w:p>
        </w:tc>
      </w:tr>
      <w:tr w:rsidR="005B3C66" w:rsidRPr="00BA4FCC" w:rsidTr="00C91FBC">
        <w:trPr>
          <w:trHeight w:val="143"/>
        </w:trPr>
        <w:tc>
          <w:tcPr>
            <w:tcW w:w="3182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849" w:type="dxa"/>
          </w:tcPr>
          <w:p w:rsidR="005B3C66" w:rsidRPr="00BA4FCC" w:rsidRDefault="005B3C66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Равеловна</w:t>
            </w:r>
            <w:proofErr w:type="spellEnd"/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службы проектирования Управления по реализации проектов строительства ПАО «Татнефть»        им. В.Д.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Шашина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B3C66" w:rsidRPr="00BA4FCC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144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BA4FCC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BA4FCC" w:rsidTr="000E4D67">
        <w:tc>
          <w:tcPr>
            <w:tcW w:w="2958" w:type="dxa"/>
          </w:tcPr>
          <w:p w:rsidR="00442965" w:rsidRPr="00BA4FCC" w:rsidRDefault="0066497B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Бариева</w:t>
            </w:r>
            <w:proofErr w:type="spellEnd"/>
          </w:p>
          <w:p w:rsidR="00B83FD9" w:rsidRPr="00BA4FCC" w:rsidRDefault="0066497B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Алина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Ильнуровна</w:t>
            </w:r>
            <w:proofErr w:type="spellEnd"/>
          </w:p>
        </w:tc>
        <w:tc>
          <w:tcPr>
            <w:tcW w:w="7073" w:type="dxa"/>
          </w:tcPr>
          <w:p w:rsidR="00442965" w:rsidRPr="00BA4FCC" w:rsidRDefault="0059284E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BA4FCC" w:rsidTr="000E4D67">
        <w:tc>
          <w:tcPr>
            <w:tcW w:w="2958" w:type="dxa"/>
          </w:tcPr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Кырганова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154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735A1" w:rsidRPr="00BA4FCC" w:rsidRDefault="0066497B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Хакимов Р.Ф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17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года, проводятся общественные слушания по материалам оценки воздействия на окружающую среду по объекту государственной экологической экспертизы: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735A1" w:rsidRPr="00BA4FCC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 начали ведение общественных обсуждений материалов оценки воздействия на окружающую среду, по объекту государственной экологической экспертизы:</w:t>
      </w:r>
      <w:proofErr w:type="gram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</w:t>
      </w:r>
      <w:r w:rsidR="0059284E" w:rsidRPr="00BA4FC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 xml:space="preserve"> г. Нижнекамск»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BA4FCC" w:rsidRDefault="00F0124E" w:rsidP="00E9483D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proofErr w:type="gramStart"/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 (№54 (10675) от 14.08.2020); «</w:t>
      </w:r>
      <w:proofErr w:type="spellStart"/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(№ 54 (4234) от 14.08.2020); «Республика Татарстан» (№ 116 (28885) от 14.08.2020); «Российская газета» (№ 179 (8233) от 13.08.2020).</w:t>
      </w:r>
    </w:p>
    <w:p w:rsidR="00F0124E" w:rsidRPr="00BA4FCC" w:rsidRDefault="00F0124E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связи с непростой санитарно-эпидемиологической обстановкой, проведение общественных обсуждений в режиме онлайн-трансляции согласовано </w:t>
      </w:r>
      <w:proofErr w:type="spellStart"/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Росприроднадзором</w:t>
      </w:r>
      <w:proofErr w:type="spellEnd"/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 В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На базе школы №</w:t>
      </w:r>
      <w:r w:rsidR="0059284E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BA4FCC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BA4FCC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BA4FCC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>нефтехимических заводов» г. Нижнекамск» 17 сентября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8B2151" w:rsidRPr="00BA4FCC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слушаниях зарегистрировались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>184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1).</w:t>
      </w:r>
    </w:p>
    <w:p w:rsidR="008B2151" w:rsidRPr="00BA4FCC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F24E23" w:rsidRPr="00BA4FCC" w:rsidRDefault="00F24E2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</w:t>
      </w:r>
      <w:r w:rsidR="00E25340"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BA4FCC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BA4FCC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17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августа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17 сентября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BA4FCC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BA4FCC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BA4FCC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454668" w:rsidRPr="00BA4FCC" w:rsidRDefault="00857E2B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8B2151" w:rsidRPr="00BA4FCC">
        <w:rPr>
          <w:rFonts w:ascii="Times New Roman" w:hAnsi="Times New Roman" w:cs="Times New Roman"/>
          <w:sz w:val="26"/>
          <w:szCs w:val="26"/>
        </w:rPr>
        <w:t>поступили вопросы от председателя Общественного Совета Нижнекамского муниципального района Х.А.</w:t>
      </w:r>
      <w:r w:rsidR="004A31DA" w:rsidRPr="00BA4F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2151" w:rsidRPr="00BA4FCC">
        <w:rPr>
          <w:rFonts w:ascii="Times New Roman" w:hAnsi="Times New Roman" w:cs="Times New Roman"/>
          <w:sz w:val="26"/>
          <w:szCs w:val="26"/>
        </w:rPr>
        <w:t>Багманова</w:t>
      </w:r>
      <w:proofErr w:type="spellEnd"/>
      <w:r w:rsidR="008B2151" w:rsidRPr="00BA4FCC">
        <w:rPr>
          <w:rFonts w:ascii="Times New Roman" w:hAnsi="Times New Roman" w:cs="Times New Roman"/>
          <w:sz w:val="26"/>
          <w:szCs w:val="26"/>
        </w:rPr>
        <w:t xml:space="preserve">. До начала слушаний ответы на </w:t>
      </w:r>
      <w:r w:rsidR="00567C87" w:rsidRPr="00BA4FCC">
        <w:rPr>
          <w:rFonts w:ascii="Times New Roman" w:hAnsi="Times New Roman" w:cs="Times New Roman"/>
          <w:sz w:val="26"/>
          <w:szCs w:val="26"/>
        </w:rPr>
        <w:t>вопрос</w:t>
      </w:r>
      <w:r w:rsidR="008B2151" w:rsidRPr="00BA4FCC">
        <w:rPr>
          <w:rFonts w:ascii="Times New Roman" w:hAnsi="Times New Roman" w:cs="Times New Roman"/>
          <w:sz w:val="26"/>
          <w:szCs w:val="26"/>
        </w:rPr>
        <w:t>ы подготовлены и переданы заявителю (приложение 2)</w:t>
      </w:r>
      <w:r w:rsidR="00567C87" w:rsidRPr="00BA4FCC">
        <w:rPr>
          <w:rFonts w:ascii="Times New Roman" w:hAnsi="Times New Roman" w:cs="Times New Roman"/>
          <w:sz w:val="26"/>
          <w:szCs w:val="26"/>
        </w:rPr>
        <w:t>.</w:t>
      </w:r>
    </w:p>
    <w:p w:rsidR="008B2151" w:rsidRPr="00BA4FCC" w:rsidRDefault="008B2151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43"/>
      </w:tblGrid>
      <w:tr w:rsidR="00923496" w:rsidRPr="00BA4FCC" w:rsidTr="000E4D67">
        <w:tc>
          <w:tcPr>
            <w:tcW w:w="5211" w:type="dxa"/>
          </w:tcPr>
          <w:p w:rsidR="00EE28A1" w:rsidRPr="00BA4FCC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843" w:type="dxa"/>
          </w:tcPr>
          <w:p w:rsidR="007C55F4" w:rsidRPr="00BA4FCC" w:rsidRDefault="004164B8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Азат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Рамилевич</w:t>
            </w:r>
            <w:proofErr w:type="spellEnd"/>
            <w:r w:rsidR="00923496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</w:p>
        </w:tc>
      </w:tr>
      <w:tr w:rsidR="007C55F4" w:rsidRPr="00BA4FCC" w:rsidTr="000E4D67">
        <w:tc>
          <w:tcPr>
            <w:tcW w:w="5211" w:type="dxa"/>
          </w:tcPr>
          <w:p w:rsidR="007C55F4" w:rsidRPr="00BA4FCC" w:rsidRDefault="007C55F4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4164B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</w:t>
            </w:r>
            <w:r w:rsidR="000E4D67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 w:rsidR="004164B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г. Нижнекамск»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4843" w:type="dxa"/>
          </w:tcPr>
          <w:p w:rsidR="00E86F48" w:rsidRPr="00BA4FCC" w:rsidRDefault="004164B8" w:rsidP="000E4D67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Кутикова Валентина Николаевна</w:t>
            </w:r>
            <w:r w:rsidR="007C55F4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инженер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ВНИПИнефть</w:t>
            </w:r>
            <w:proofErr w:type="spellEnd"/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7C55F4" w:rsidRPr="00BA4FCC" w:rsidRDefault="007C55F4" w:rsidP="000D24C9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4A8B" w:rsidRPr="00BA4FCC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1FA2" w:rsidRPr="00BA4FCC" w:rsidRDefault="00BA1FA2" w:rsidP="000D24C9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 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4D67" w:rsidRPr="00BA4FCC" w:rsidRDefault="00356607" w:rsidP="000E4D6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A4FCC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8B2151" w:rsidRPr="00BA4FCC" w:rsidRDefault="00356607" w:rsidP="000E4D6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A4FCC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356607" w:rsidRPr="00BA4FCC" w:rsidRDefault="0035660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442F" w:rsidRPr="00BA4FCC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Хамидуллин</w:t>
      </w:r>
      <w:proofErr w:type="spellEnd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1060FC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BA4FCC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BA4FCC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ефти превысит 80 миллионов тонн и увеличит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36EB3" w:rsidRPr="00BA4FCC" w:rsidRDefault="003C39A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инфекцией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переданы организациям и учреждениям Нижнекамска антисептики, тесты, термометры, хлопчатобумажные костюмы и перчатки.</w:t>
      </w:r>
    </w:p>
    <w:p w:rsidR="00BA1FA2" w:rsidRPr="00BA4FCC" w:rsidRDefault="00F1442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spellEnd"/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proofErr w:type="spellEnd"/>
      <w:r w:rsidR="001445E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>упомянул, что Компания последовательно реализует целевые программные мероприятия, направленные на сохранение жизни и здоровья, а также улучшение условий труда работников, исключение аварийности, значительных производственных рисков, повышение безопасности работы оборудования. Также было сказано о социальной поддержке: к новому учебному году построена новая спортивная площадка и выполнен ремонт школы №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>33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 г. Нижнекамске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351F" w:rsidRPr="00BA4FCC" w:rsidRDefault="0057351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Докладчик затронул экологические аспекты политики Татнефть, указав на то, что одной из приоритетных целей ТАНЕКО было, есть и будет обеспечение экологической безопасности производства. Современные проектные решения и применение мировых апробированных технологий и оборудования с низкими показателями выбросов позволяют ТАНЕКО минимизировать воздействие на окружающую среду, достичь максимального сокращения выбросов. </w:t>
      </w:r>
    </w:p>
    <w:p w:rsidR="00896481" w:rsidRPr="00BA4FCC" w:rsidRDefault="006907C9" w:rsidP="008A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BA4FCC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Установка гидрокрекинга спроектирована по современной, надежной технологии компании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Chevron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Lummus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Global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. Это 2-я установка гидрокрекинга на Комплексе, имеются необходимые компетенции и опыт безопасной эксплуатации.</w:t>
      </w:r>
    </w:p>
    <w:p w:rsidR="00496119" w:rsidRPr="00BA4FCC" w:rsidRDefault="00496119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BA4FCC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BA4FCC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0727" w:rsidRPr="00BA4FCC" w:rsidRDefault="00870990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Кутикова В.Н</w:t>
      </w:r>
      <w:r w:rsidR="000D24C9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сделал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в котором озвучил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г. Нижнекамск»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157" w:rsidRPr="00BA4FCC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роинформировал о технологии производства данной установки,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0E3644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соответствует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>требованиям наилучших допустимых технологий согласно ст.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BA4FCC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7646" w:rsidRPr="00BA4FCC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</w:p>
    <w:p w:rsidR="00F300ED" w:rsidRPr="00BA4FCC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 задает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Багманов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Хамза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Азалович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При рассмотрении предварительных материалов ОВОС по данному проекту, нами были подготовлены замечания и направлены в установленные сроки. До даты проведения слушаний получен письменный ответ. Вопросы носили в основном уточняющий характер, связаны были больше с качеством оформления. Замечания эти будут учтены в окончательных материалах оценки воздействия на окружающую среду. И на данный момент других замечаний нет.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Спасибо. Еще вопросы есть?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Вопросов нет.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Хакимов Р.Ф.: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Передадим слово Салахову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Илшату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Илгизовичу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4157" w:rsidRPr="00BA4FCC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Pr="00BA4FCC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Салахов И.И.: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CE1F2D" w:rsidRPr="00BA4FCC">
        <w:rPr>
          <w:rFonts w:ascii="Times New Roman" w:eastAsia="Times New Roman" w:hAnsi="Times New Roman" w:cs="Times New Roman"/>
          <w:sz w:val="26"/>
          <w:szCs w:val="26"/>
        </w:rPr>
        <w:t>!</w:t>
      </w:r>
      <w:r w:rsidR="00567DA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F2D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67DA9" w:rsidRPr="00BA4FCC">
        <w:rPr>
          <w:rFonts w:ascii="Times New Roman" w:eastAsia="Times New Roman" w:hAnsi="Times New Roman" w:cs="Times New Roman"/>
          <w:sz w:val="26"/>
          <w:szCs w:val="26"/>
        </w:rPr>
        <w:t>озвольте представиться</w:t>
      </w:r>
      <w:r w:rsidR="00CE1F2D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567DA9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Салахов </w:t>
      </w:r>
      <w:proofErr w:type="spellStart"/>
      <w:r w:rsidR="00567DA9" w:rsidRPr="00BA4FCC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567DA9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генеральный директор «ТАНЕКО». 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>Благодарю за предоставленную информацию по проекту. Мы подтверждаем ту позицию, которая была предложена в презентации. Это вторая установка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>ервая установка у нас построена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; в 2014 году 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получены разрешительные документы.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 время эксплуатации она показала </w:t>
      </w:r>
      <w:proofErr w:type="spellStart"/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экологичность</w:t>
      </w:r>
      <w:proofErr w:type="spellEnd"/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эффективность применяемой технологии. 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>Данная установка направлена на переработку темного нефтяного сырья, получая целую гамму светлых нефтепродуктов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4710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необходимых в хозяйственной деятельности человека. </w:t>
      </w:r>
    </w:p>
    <w:p w:rsidR="009328E0" w:rsidRPr="00BA4FCC" w:rsidRDefault="004710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Рассматриваемая установка отвечает всем современным требованиям</w:t>
      </w:r>
      <w:r w:rsidR="009C16C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по экологическим стандартам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Гарантируем соблюдение всех требований при реализации данного проекта. </w:t>
      </w:r>
    </w:p>
    <w:p w:rsidR="00C14539" w:rsidRPr="00BA4FCC" w:rsidRDefault="00C14539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0E3644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Хакимов Р.Ф</w:t>
      </w:r>
      <w:r w:rsidR="00242117" w:rsidRPr="00BA4FCC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24211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Спасибо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нет, предлагаю подвести итоги. </w:t>
      </w: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</w:t>
      </w:r>
      <w:r w:rsidRPr="00BA4FCC">
        <w:rPr>
          <w:rFonts w:ascii="Times New Roman" w:hAnsi="Times New Roman" w:cs="Times New Roman"/>
          <w:sz w:val="26"/>
          <w:szCs w:val="26"/>
        </w:rPr>
        <w:lastRenderedPageBreak/>
        <w:t xml:space="preserve">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A2620C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BA4FCC">
        <w:rPr>
          <w:rFonts w:ascii="Times New Roman" w:hAnsi="Times New Roman" w:cs="Times New Roman"/>
          <w:sz w:val="26"/>
          <w:szCs w:val="26"/>
        </w:rPr>
        <w:t>материалов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BA4FCC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BA4FCC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A2620C" w:rsidRPr="00BA4FCC">
        <w:rPr>
          <w:rFonts w:ascii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признать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BA4FCC" w:rsidRDefault="00F300ED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BA4FCC" w:rsidRDefault="000E3644" w:rsidP="00BA4F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Хакимов Р.Ф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</w:t>
      </w:r>
      <w:bookmarkStart w:id="0" w:name="_GoBack"/>
      <w:bookmarkEnd w:id="0"/>
      <w:r w:rsidR="002864B5" w:rsidRPr="00BA4FCC">
        <w:rPr>
          <w:rFonts w:ascii="Times New Roman" w:hAnsi="Times New Roman" w:cs="Times New Roman"/>
          <w:sz w:val="26"/>
          <w:szCs w:val="26"/>
        </w:rPr>
        <w:t>авлю на голосование данную формулировку. Прошу проголосовать, нажав соответствующую кнопку.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A2620C" w:rsidRPr="00BA4FCC">
        <w:rPr>
          <w:rFonts w:ascii="Times New Roman" w:hAnsi="Times New Roman" w:cs="Times New Roman"/>
          <w:sz w:val="26"/>
          <w:szCs w:val="26"/>
        </w:rPr>
        <w:t>146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«Против» - 0;</w:t>
      </w:r>
    </w:p>
    <w:p w:rsidR="002864B5" w:rsidRPr="00BA4FCC" w:rsidRDefault="00A2620C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«Воздержались» - 3</w:t>
      </w:r>
      <w:r w:rsidR="002864B5" w:rsidRPr="00BA4FCC">
        <w:rPr>
          <w:rFonts w:ascii="Times New Roman" w:hAnsi="Times New Roman" w:cs="Times New Roman"/>
          <w:sz w:val="26"/>
          <w:szCs w:val="26"/>
        </w:rPr>
        <w:t>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BA4FCC" w:rsidRDefault="00CD08A1" w:rsidP="00B86EC8">
      <w:pPr>
        <w:pStyle w:val="aa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BA4FCC">
        <w:rPr>
          <w:rFonts w:ascii="Times New Roman" w:hAnsi="Times New Roman" w:cs="Times New Roman"/>
          <w:sz w:val="26"/>
          <w:szCs w:val="26"/>
        </w:rPr>
        <w:t>е</w:t>
      </w:r>
      <w:r w:rsidR="00C27474" w:rsidRPr="00BA4FCC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A2620C" w:rsidRPr="00BA4FCC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="00DB7EC9" w:rsidRPr="00BA4FCC">
        <w:rPr>
          <w:rFonts w:ascii="Times New Roman" w:hAnsi="Times New Roman" w:cs="Times New Roman"/>
          <w:sz w:val="26"/>
          <w:szCs w:val="26"/>
        </w:rPr>
        <w:t>одобрены</w:t>
      </w:r>
      <w:r w:rsidRPr="00BA4FCC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F300ED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Хакимов Р.Ф.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2864B5" w:rsidRPr="00BA4FCC">
        <w:rPr>
          <w:rFonts w:ascii="Times New Roman" w:hAnsi="Times New Roman" w:cs="Times New Roman"/>
          <w:sz w:val="26"/>
          <w:szCs w:val="26"/>
        </w:rPr>
        <w:t>1</w:t>
      </w:r>
      <w:r w:rsidR="00A2620C" w:rsidRPr="00BA4FCC">
        <w:rPr>
          <w:rFonts w:ascii="Times New Roman" w:hAnsi="Times New Roman" w:cs="Times New Roman"/>
          <w:sz w:val="26"/>
          <w:szCs w:val="26"/>
        </w:rPr>
        <w:t>31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2864B5" w:rsidRPr="00BA4FCC">
        <w:rPr>
          <w:rFonts w:ascii="Times New Roman" w:hAnsi="Times New Roman" w:cs="Times New Roman"/>
          <w:sz w:val="26"/>
          <w:szCs w:val="26"/>
        </w:rPr>
        <w:t>0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A2620C" w:rsidRPr="00BA4FCC">
        <w:rPr>
          <w:rFonts w:ascii="Times New Roman" w:hAnsi="Times New Roman" w:cs="Times New Roman"/>
          <w:sz w:val="26"/>
          <w:szCs w:val="26"/>
        </w:rPr>
        <w:t>2</w:t>
      </w:r>
      <w:r w:rsidRPr="00BA4FCC">
        <w:rPr>
          <w:rFonts w:ascii="Times New Roman" w:hAnsi="Times New Roman" w:cs="Times New Roman"/>
          <w:sz w:val="26"/>
          <w:szCs w:val="26"/>
        </w:rPr>
        <w:t>.</w:t>
      </w:r>
    </w:p>
    <w:p w:rsidR="00717500" w:rsidRPr="00BA4FCC" w:rsidRDefault="00717500" w:rsidP="000D2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="00C27474"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BA4FCC">
        <w:rPr>
          <w:rFonts w:ascii="Times New Roman" w:hAnsi="Times New Roman" w:cs="Times New Roman"/>
          <w:sz w:val="26"/>
          <w:szCs w:val="26"/>
        </w:rPr>
        <w:t>ам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BA4FCC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BA4FCC">
        <w:rPr>
          <w:rFonts w:ascii="Times New Roman" w:hAnsi="Times New Roman" w:cs="Times New Roman"/>
          <w:sz w:val="26"/>
          <w:szCs w:val="26"/>
        </w:rPr>
        <w:t>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A2620C" w:rsidRPr="00BA4FCC">
        <w:rPr>
          <w:rFonts w:ascii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</w:t>
      </w:r>
      <w:r w:rsidR="00F300ED" w:rsidRPr="00BA4FC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2620C" w:rsidRPr="00BA4FCC">
        <w:rPr>
          <w:rFonts w:ascii="Times New Roman" w:hAnsi="Times New Roman" w:cs="Times New Roman"/>
          <w:sz w:val="26"/>
          <w:szCs w:val="26"/>
        </w:rPr>
        <w:t xml:space="preserve"> г. Нижнекамск»; </w:t>
      </w:r>
      <w:r w:rsidR="00C27474" w:rsidRPr="00BA4FCC">
        <w:rPr>
          <w:rFonts w:ascii="Times New Roman" w:hAnsi="Times New Roman" w:cs="Times New Roman"/>
          <w:sz w:val="26"/>
          <w:szCs w:val="26"/>
        </w:rPr>
        <w:t>по</w:t>
      </w:r>
      <w:r w:rsidRPr="00BA4FCC">
        <w:rPr>
          <w:rFonts w:ascii="Times New Roman" w:hAnsi="Times New Roman" w:cs="Times New Roman"/>
          <w:sz w:val="26"/>
          <w:szCs w:val="26"/>
        </w:rPr>
        <w:t xml:space="preserve"> адресу:</w:t>
      </w:r>
    </w:p>
    <w:p w:rsidR="00F300ED" w:rsidRPr="00BA4FCC" w:rsidRDefault="00CD08A1" w:rsidP="00A2620C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lastRenderedPageBreak/>
        <w:t>посредством почтовой связи: 423450, Российская Федерация, Республика Татарстан, г. Альметьевск, ул. Ленина, 75;</w:t>
      </w:r>
      <w:r w:rsidR="00F300ED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8A1" w:rsidRPr="00BA4FCC" w:rsidRDefault="00CD08A1" w:rsidP="00A2620C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посредством  электронной  почты:</w:t>
      </w:r>
      <w:r w:rsidR="00A2620C" w:rsidRPr="00BA4FC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32603" w:rsidRPr="00BA4FCC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</w:rPr>
          <w:t>tnr@tatneft.ru</w:t>
        </w:r>
      </w:hyperlink>
      <w:r w:rsidR="00E32603" w:rsidRPr="00BA4FCC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,  </w:t>
      </w:r>
      <w:hyperlink r:id="rId15" w:history="1">
        <w:r w:rsidR="009C16C3" w:rsidRPr="00BA4FCC">
          <w:rPr>
            <w:rStyle w:val="af"/>
            <w:rFonts w:ascii="Times New Roman" w:hAnsi="Times New Roman" w:cs="Times New Roman"/>
            <w:sz w:val="26"/>
            <w:szCs w:val="26"/>
          </w:rPr>
          <w:t>vopros@taneco.ru</w:t>
        </w:r>
      </w:hyperlink>
      <w:r w:rsidR="009C16C3" w:rsidRPr="00BA4FCC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CD08A1" w:rsidRPr="00BA4FCC" w:rsidRDefault="00CD08A1" w:rsidP="000D24C9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(ОВОС) будут доведены до населения через официальные </w:t>
      </w:r>
      <w:r w:rsidR="007E0757" w:rsidRPr="00BA4FCC">
        <w:rPr>
          <w:rFonts w:ascii="Times New Roman" w:hAnsi="Times New Roman" w:cs="Times New Roman"/>
          <w:sz w:val="26"/>
          <w:szCs w:val="26"/>
        </w:rPr>
        <w:t>Интернет-ресурсы</w:t>
      </w:r>
      <w:r w:rsidRPr="00BA4FC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08A1" w:rsidRPr="00BA4FCC" w:rsidRDefault="00CD08A1" w:rsidP="000D24C9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BA4FCC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BA4FCC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BA4FCC">
        <w:rPr>
          <w:rFonts w:ascii="Times New Roman" w:hAnsi="Times New Roman" w:cs="Times New Roman"/>
          <w:sz w:val="26"/>
          <w:szCs w:val="26"/>
        </w:rPr>
        <w:t>).</w:t>
      </w:r>
    </w:p>
    <w:p w:rsidR="00CD08A1" w:rsidRPr="00BA4FCC" w:rsidRDefault="00CD08A1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6C3" w:rsidRPr="00BA4FCC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169"/>
      </w:tblGrid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слушаний, 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Исполнительного комитета города Нижнекамск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А.Р.Салаватов</w:t>
            </w:r>
            <w:proofErr w:type="spellEnd"/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Председательствующий на общественных слушаниях, заместитель 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уководителя Исполнительного комитета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Р.Ф.Хакимов</w:t>
            </w:r>
            <w:proofErr w:type="spellEnd"/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Представитель Управления по реализации проектов строительства ПАО «Татнефть» им. В.Д.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A4FCC" w:rsidRPr="00BA4FCC" w:rsidRDefault="00BA4FCC" w:rsidP="00BA4FCC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BA4FCC" w:rsidRPr="00BA4FCC" w:rsidRDefault="00BA4FCC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А.И.Бариева</w:t>
            </w:r>
            <w:proofErr w:type="spellEnd"/>
          </w:p>
          <w:p w:rsidR="00BA4FCC" w:rsidRPr="00BA4FCC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</w:t>
            </w:r>
            <w:proofErr w:type="spellStart"/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Кырганова</w:t>
            </w:r>
            <w:proofErr w:type="spellEnd"/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BA4FCC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4124BC" w:rsidRDefault="004124BC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124BC" w:rsidSect="00D1409E">
      <w:headerReference w:type="default" r:id="rId17"/>
      <w:footerReference w:type="default" r:id="rId18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EC" w:rsidRDefault="00C834EC" w:rsidP="00F21A15">
      <w:pPr>
        <w:spacing w:after="0" w:line="240" w:lineRule="auto"/>
      </w:pPr>
      <w:r>
        <w:separator/>
      </w:r>
    </w:p>
  </w:endnote>
  <w:endnote w:type="continuationSeparator" w:id="0">
    <w:p w:rsidR="00C834EC" w:rsidRDefault="00C834EC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BA4FCC">
          <w:rPr>
            <w:rFonts w:ascii="Times New Roman" w:hAnsi="Times New Roman" w:cs="Times New Roman"/>
            <w:noProof/>
          </w:rPr>
          <w:t>8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EC" w:rsidRDefault="00C834EC" w:rsidP="00F21A15">
      <w:pPr>
        <w:spacing w:after="0" w:line="240" w:lineRule="auto"/>
      </w:pPr>
      <w:r>
        <w:separator/>
      </w:r>
    </w:p>
  </w:footnote>
  <w:footnote w:type="continuationSeparator" w:id="0">
    <w:p w:rsidR="00C834EC" w:rsidRDefault="00C834EC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5260F"/>
    <w:rsid w:val="00161B78"/>
    <w:rsid w:val="00162CE2"/>
    <w:rsid w:val="00165226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6CF0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C39A6"/>
    <w:rsid w:val="003C7A30"/>
    <w:rsid w:val="003D0C4B"/>
    <w:rsid w:val="003D1385"/>
    <w:rsid w:val="003D218B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25B8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5B71"/>
    <w:rsid w:val="006B5E0B"/>
    <w:rsid w:val="006B72B5"/>
    <w:rsid w:val="006C33DE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60370"/>
    <w:rsid w:val="0076632B"/>
    <w:rsid w:val="00772632"/>
    <w:rsid w:val="00774F39"/>
    <w:rsid w:val="00792E22"/>
    <w:rsid w:val="007A1278"/>
    <w:rsid w:val="007B3537"/>
    <w:rsid w:val="007C09F5"/>
    <w:rsid w:val="007C206F"/>
    <w:rsid w:val="007C2388"/>
    <w:rsid w:val="007C3626"/>
    <w:rsid w:val="007C55F4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16C3"/>
    <w:rsid w:val="009C79A6"/>
    <w:rsid w:val="009D0FC6"/>
    <w:rsid w:val="009D42BC"/>
    <w:rsid w:val="009E479A"/>
    <w:rsid w:val="009F4867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BCC"/>
    <w:rsid w:val="00B56F1F"/>
    <w:rsid w:val="00B577CF"/>
    <w:rsid w:val="00B61417"/>
    <w:rsid w:val="00B62468"/>
    <w:rsid w:val="00B629D4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539"/>
    <w:rsid w:val="00C14DEC"/>
    <w:rsid w:val="00C22F6E"/>
    <w:rsid w:val="00C25E14"/>
    <w:rsid w:val="00C27474"/>
    <w:rsid w:val="00C30351"/>
    <w:rsid w:val="00C31140"/>
    <w:rsid w:val="00C404C3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D3F"/>
    <w:rsid w:val="00C732FF"/>
    <w:rsid w:val="00C834EC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10B1E"/>
    <w:rsid w:val="00E11DC2"/>
    <w:rsid w:val="00E11F2A"/>
    <w:rsid w:val="00E25340"/>
    <w:rsid w:val="00E30099"/>
    <w:rsid w:val="00E32603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483D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547A"/>
    <w:rsid w:val="00EF630F"/>
    <w:rsid w:val="00EF7329"/>
    <w:rsid w:val="00EF773A"/>
    <w:rsid w:val="00F0124E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-nkam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vopros@taneco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nr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29E0C-E678-4132-BADD-27A176B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12</cp:revision>
  <cp:lastPrinted>2020-09-07T14:05:00Z</cp:lastPrinted>
  <dcterms:created xsi:type="dcterms:W3CDTF">2020-09-24T04:28:00Z</dcterms:created>
  <dcterms:modified xsi:type="dcterms:W3CDTF">2020-09-24T04:55:00Z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